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D3" w:rsidRDefault="005261D3" w:rsidP="005261D3">
      <w:pPr>
        <w:tabs>
          <w:tab w:val="center" w:pos="4677"/>
          <w:tab w:val="right" w:pos="9355"/>
        </w:tabs>
        <w:ind w:left="5400"/>
        <w:rPr>
          <w:rFonts w:ascii="Arial" w:eastAsia="Calibri" w:hAnsi="Arial" w:cs="Arial"/>
        </w:rPr>
      </w:pPr>
      <w:r>
        <w:rPr>
          <w:rFonts w:ascii="Arial" w:eastAsia="Calibri" w:hAnsi="Arial" w:cs="Arial"/>
        </w:rPr>
        <w:t>Проект вносится</w:t>
      </w:r>
    </w:p>
    <w:p w:rsidR="005261D3" w:rsidRDefault="005261D3" w:rsidP="005261D3">
      <w:pPr>
        <w:ind w:left="5400" w:right="-289"/>
        <w:rPr>
          <w:rFonts w:ascii="Arial" w:hAnsi="Arial" w:cs="Arial"/>
        </w:rPr>
      </w:pPr>
      <w:r>
        <w:rPr>
          <w:rFonts w:ascii="Arial" w:hAnsi="Arial" w:cs="Arial"/>
        </w:rPr>
        <w:t>депутатской фракцией</w:t>
      </w:r>
    </w:p>
    <w:p w:rsidR="005261D3" w:rsidRDefault="005261D3" w:rsidP="005261D3">
      <w:pPr>
        <w:ind w:left="5400" w:right="-289"/>
        <w:rPr>
          <w:rFonts w:ascii="Arial" w:hAnsi="Arial" w:cs="Arial"/>
        </w:rPr>
      </w:pPr>
      <w:r>
        <w:rPr>
          <w:rFonts w:ascii="Arial" w:hAnsi="Arial" w:cs="Arial"/>
        </w:rPr>
        <w:t>«ЕДИНАЯ РОССИЯ»</w:t>
      </w:r>
    </w:p>
    <w:p w:rsidR="005261D3" w:rsidRDefault="005261D3" w:rsidP="005261D3">
      <w:pPr>
        <w:ind w:left="4692" w:right="-289" w:firstLine="708"/>
        <w:rPr>
          <w:rFonts w:ascii="Arial" w:hAnsi="Arial" w:cs="Arial"/>
        </w:rPr>
      </w:pPr>
      <w:r>
        <w:rPr>
          <w:rFonts w:ascii="Arial" w:hAnsi="Arial" w:cs="Arial"/>
        </w:rPr>
        <w:t>Тюменской областной Думы</w:t>
      </w:r>
    </w:p>
    <w:p w:rsidR="005261D3" w:rsidRDefault="005261D3" w:rsidP="005261D3">
      <w:pPr>
        <w:pStyle w:val="1"/>
        <w:rPr>
          <w:b w:val="0"/>
          <w:color w:val="0000FF"/>
          <w:sz w:val="24"/>
          <w:szCs w:val="24"/>
        </w:rPr>
      </w:pPr>
    </w:p>
    <w:p w:rsidR="005261D3" w:rsidRDefault="005261D3" w:rsidP="005261D3">
      <w:pPr>
        <w:rPr>
          <w:rFonts w:ascii="Verdana" w:hAnsi="Verdana"/>
          <w:lang w:eastAsia="en-US"/>
        </w:rPr>
      </w:pPr>
    </w:p>
    <w:p w:rsidR="005261D3" w:rsidRDefault="005261D3" w:rsidP="005261D3">
      <w:pPr>
        <w:pStyle w:val="1"/>
        <w:rPr>
          <w:color w:val="0000FF"/>
          <w:sz w:val="40"/>
          <w:szCs w:val="40"/>
        </w:rPr>
      </w:pPr>
    </w:p>
    <w:p w:rsidR="005261D3" w:rsidRDefault="005261D3" w:rsidP="005261D3">
      <w:pPr>
        <w:rPr>
          <w:rFonts w:ascii="Verdana" w:hAnsi="Verdana"/>
          <w:lang w:eastAsia="en-US"/>
        </w:rPr>
      </w:pPr>
    </w:p>
    <w:p w:rsidR="005261D3" w:rsidRDefault="005261D3" w:rsidP="005261D3">
      <w:pPr>
        <w:pStyle w:val="1"/>
        <w:rPr>
          <w:sz w:val="40"/>
          <w:szCs w:val="40"/>
        </w:rPr>
      </w:pPr>
      <w:r>
        <w:rPr>
          <w:color w:val="0000FF"/>
          <w:sz w:val="40"/>
          <w:szCs w:val="40"/>
        </w:rPr>
        <w:t>ЗАКОН ТЮМЕНСКОЙ ОБЛАСТИ</w:t>
      </w:r>
    </w:p>
    <w:p w:rsidR="005261D3" w:rsidRDefault="005261D3" w:rsidP="005261D3"/>
    <w:p w:rsidR="005261D3" w:rsidRDefault="005261D3" w:rsidP="005261D3"/>
    <w:p w:rsidR="005261D3" w:rsidRDefault="005261D3" w:rsidP="005261D3">
      <w:pPr>
        <w:spacing w:line="360" w:lineRule="auto"/>
        <w:jc w:val="center"/>
        <w:rPr>
          <w:rFonts w:ascii="Arial" w:hAnsi="Arial" w:cs="Arial"/>
          <w:b/>
          <w:sz w:val="28"/>
          <w:szCs w:val="28"/>
        </w:rPr>
      </w:pPr>
      <w:r>
        <w:rPr>
          <w:rFonts w:ascii="Arial" w:hAnsi="Arial" w:cs="Arial"/>
          <w:b/>
          <w:sz w:val="28"/>
          <w:szCs w:val="28"/>
        </w:rPr>
        <w:t>О внесении изменений в Избирательный кодекс</w:t>
      </w:r>
      <w:r>
        <w:rPr>
          <w:rFonts w:ascii="Arial" w:hAnsi="Arial" w:cs="Arial"/>
          <w:b/>
          <w:sz w:val="28"/>
          <w:szCs w:val="28"/>
        </w:rPr>
        <w:br/>
        <w:t>(Закон) Тюменской области</w:t>
      </w:r>
    </w:p>
    <w:p w:rsidR="005261D3" w:rsidRDefault="005261D3" w:rsidP="005261D3">
      <w:pPr>
        <w:spacing w:line="360" w:lineRule="auto"/>
        <w:rPr>
          <w:rFonts w:ascii="Arial" w:hAnsi="Arial" w:cs="Arial"/>
          <w:b/>
        </w:rPr>
      </w:pPr>
    </w:p>
    <w:p w:rsidR="005261D3" w:rsidRDefault="005261D3" w:rsidP="005261D3">
      <w:pPr>
        <w:spacing w:line="360" w:lineRule="auto"/>
        <w:ind w:firstLine="709"/>
        <w:jc w:val="both"/>
        <w:rPr>
          <w:rFonts w:ascii="Arial" w:hAnsi="Arial" w:cs="Arial"/>
          <w:b/>
        </w:rPr>
      </w:pPr>
    </w:p>
    <w:p w:rsidR="005261D3" w:rsidRDefault="005261D3" w:rsidP="005261D3">
      <w:pPr>
        <w:spacing w:line="360" w:lineRule="auto"/>
        <w:ind w:firstLine="720"/>
        <w:jc w:val="both"/>
        <w:rPr>
          <w:rFonts w:ascii="Arial" w:hAnsi="Arial" w:cs="Arial"/>
          <w:b/>
        </w:rPr>
      </w:pPr>
      <w:r>
        <w:rPr>
          <w:rFonts w:ascii="Arial" w:hAnsi="Arial" w:cs="Arial"/>
          <w:b/>
        </w:rPr>
        <w:t>Статья 1</w:t>
      </w:r>
    </w:p>
    <w:p w:rsidR="005261D3" w:rsidRDefault="005261D3" w:rsidP="005261D3">
      <w:pPr>
        <w:autoSpaceDE w:val="0"/>
        <w:autoSpaceDN w:val="0"/>
        <w:adjustRightInd w:val="0"/>
        <w:spacing w:line="360" w:lineRule="auto"/>
        <w:ind w:firstLine="720"/>
        <w:jc w:val="both"/>
        <w:rPr>
          <w:rFonts w:ascii="Arial" w:hAnsi="Arial" w:cs="Arial"/>
        </w:rPr>
      </w:pPr>
      <w:proofErr w:type="gramStart"/>
      <w:r>
        <w:rPr>
          <w:rFonts w:ascii="Arial" w:hAnsi="Arial" w:cs="Arial"/>
        </w:rPr>
        <w:t xml:space="preserve">Внести в Избирательный кодекс (Закон) Тюменской области </w:t>
      </w:r>
      <w:r>
        <w:rPr>
          <w:rFonts w:ascii="Arial" w:hAnsi="Arial" w:cs="Arial"/>
        </w:rPr>
        <w:br/>
        <w:t xml:space="preserve">от 03.06.2003 № 139 («Парламентская газета «Тюменские известия», № 115, 10.06.2003; № 1, 06.01.2004; № 239 - 240, 12.11.2004; </w:t>
      </w:r>
      <w:r>
        <w:rPr>
          <w:rFonts w:ascii="Arial" w:hAnsi="Arial" w:cs="Arial"/>
        </w:rPr>
        <w:br/>
        <w:t xml:space="preserve">№ 276 - 277, 09.12.2005; № 136, 04.07.2006; № 246 - 247, 14.11.2006; </w:t>
      </w:r>
      <w:r>
        <w:rPr>
          <w:rFonts w:ascii="Arial" w:hAnsi="Arial" w:cs="Arial"/>
        </w:rPr>
        <w:br/>
        <w:t>№ 270 - 271, 08.12.2006; № 118, от 09.07.2011; «Тюменская область сегодня»,                № 188, 13.10.2009; № 121, 09.07.2010; № 237, 22.12.2010; № 123, 12.07.2011; № 162, 03.09.2011; «Парламентская газета «Тюменские известия» № 121, 17.07.2012;</w:t>
      </w:r>
      <w:proofErr w:type="gramEnd"/>
      <w:r>
        <w:rPr>
          <w:rFonts w:ascii="Arial" w:hAnsi="Arial" w:cs="Arial"/>
        </w:rPr>
        <w:t xml:space="preserve"> № </w:t>
      </w:r>
      <w:proofErr w:type="gramStart"/>
      <w:r>
        <w:rPr>
          <w:rFonts w:ascii="Arial" w:hAnsi="Arial" w:cs="Arial"/>
        </w:rPr>
        <w:t>234, 28.12.2012) следующие изменения:</w:t>
      </w:r>
      <w:proofErr w:type="gramEnd"/>
    </w:p>
    <w:p w:rsidR="005261D3" w:rsidRDefault="005261D3" w:rsidP="005261D3">
      <w:pPr>
        <w:autoSpaceDE w:val="0"/>
        <w:autoSpaceDN w:val="0"/>
        <w:adjustRightInd w:val="0"/>
        <w:spacing w:line="360" w:lineRule="auto"/>
        <w:ind w:firstLine="720"/>
        <w:jc w:val="both"/>
        <w:rPr>
          <w:rFonts w:ascii="Arial" w:hAnsi="Arial" w:cs="Arial"/>
        </w:rPr>
      </w:pPr>
      <w:r>
        <w:rPr>
          <w:rFonts w:ascii="Arial" w:hAnsi="Arial" w:cs="Arial"/>
        </w:rPr>
        <w:t>1) Статью 36 дополнить частями 8.1 – 8.2 следующего содержания:</w:t>
      </w:r>
    </w:p>
    <w:p w:rsidR="005261D3" w:rsidRDefault="005261D3" w:rsidP="005261D3">
      <w:pPr>
        <w:autoSpaceDE w:val="0"/>
        <w:autoSpaceDN w:val="0"/>
        <w:adjustRightInd w:val="0"/>
        <w:spacing w:line="360" w:lineRule="auto"/>
        <w:ind w:firstLine="720"/>
        <w:jc w:val="both"/>
        <w:rPr>
          <w:rFonts w:ascii="Arial" w:hAnsi="Arial" w:cs="Arial"/>
        </w:rPr>
      </w:pPr>
      <w:r>
        <w:rPr>
          <w:rFonts w:ascii="Arial" w:hAnsi="Arial" w:cs="Arial"/>
        </w:rPr>
        <w:t xml:space="preserve">«8.1. </w:t>
      </w:r>
      <w:proofErr w:type="gramStart"/>
      <w:r>
        <w:rPr>
          <w:rFonts w:ascii="Arial" w:hAnsi="Arial" w:cs="Arial"/>
        </w:rPr>
        <w:t>На выборах депутатов представительного органа городского округа с численностью 35 и более депутатов, в котором не менее половины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список кандидатов, выдвигаемый по единому избирательному округу (далее – городской список кандидатов), должен состоять из общей части и территориальных групп кандидатов.</w:t>
      </w:r>
      <w:proofErr w:type="gramEnd"/>
    </w:p>
    <w:p w:rsidR="005261D3" w:rsidRDefault="005261D3" w:rsidP="005261D3">
      <w:pPr>
        <w:autoSpaceDE w:val="0"/>
        <w:autoSpaceDN w:val="0"/>
        <w:adjustRightInd w:val="0"/>
        <w:spacing w:line="360" w:lineRule="auto"/>
        <w:ind w:firstLine="720"/>
        <w:jc w:val="both"/>
        <w:rPr>
          <w:rFonts w:ascii="Arial" w:hAnsi="Arial" w:cs="Arial"/>
        </w:rPr>
      </w:pPr>
      <w:r>
        <w:rPr>
          <w:rFonts w:ascii="Arial" w:hAnsi="Arial" w:cs="Arial"/>
        </w:rPr>
        <w:t xml:space="preserve">В общую часть и соответствующую территориальную группу кандидатов может быть включено не более трех кандидатов. </w:t>
      </w:r>
    </w:p>
    <w:p w:rsidR="005261D3" w:rsidRDefault="005261D3" w:rsidP="005261D3">
      <w:pPr>
        <w:autoSpaceDE w:val="0"/>
        <w:autoSpaceDN w:val="0"/>
        <w:adjustRightInd w:val="0"/>
        <w:spacing w:line="360" w:lineRule="auto"/>
        <w:ind w:firstLine="720"/>
        <w:jc w:val="both"/>
        <w:rPr>
          <w:rFonts w:ascii="Arial" w:hAnsi="Arial" w:cs="Arial"/>
        </w:rPr>
      </w:pPr>
      <w:r>
        <w:rPr>
          <w:rFonts w:ascii="Arial" w:hAnsi="Arial" w:cs="Arial"/>
        </w:rPr>
        <w:t xml:space="preserve">8.2. Территориальные группы кандидатов должны соответствовать территориям (границам) и номерам одномандатных избирательных округов, </w:t>
      </w:r>
      <w:r>
        <w:rPr>
          <w:rFonts w:ascii="Arial" w:hAnsi="Arial" w:cs="Arial"/>
        </w:rPr>
        <w:lastRenderedPageBreak/>
        <w:t>образованных для проведения выборов депутатов представительного органа городского округа, указанного в части 8.1 настоящей статьи.</w:t>
      </w:r>
    </w:p>
    <w:p w:rsidR="005261D3" w:rsidRDefault="005261D3" w:rsidP="005261D3">
      <w:pPr>
        <w:autoSpaceDE w:val="0"/>
        <w:autoSpaceDN w:val="0"/>
        <w:adjustRightInd w:val="0"/>
        <w:spacing w:line="360" w:lineRule="auto"/>
        <w:ind w:firstLine="720"/>
        <w:jc w:val="both"/>
        <w:rPr>
          <w:rFonts w:ascii="Arial" w:hAnsi="Arial" w:cs="Arial"/>
        </w:rPr>
      </w:pPr>
      <w:r>
        <w:rPr>
          <w:rFonts w:ascii="Arial" w:hAnsi="Arial" w:cs="Arial"/>
        </w:rPr>
        <w:t>Количество территориальных групп кандидатов в городском списке кандидатов определяется решением избирательного объединения и не может быть менее половины от количества одномандатных избирательных округов, образованных для проведения выборов депутатов представительного органа городского округа</w:t>
      </w:r>
      <w:proofErr w:type="gramStart"/>
      <w:r>
        <w:rPr>
          <w:rFonts w:ascii="Arial" w:hAnsi="Arial" w:cs="Arial"/>
        </w:rPr>
        <w:t>.»;</w:t>
      </w:r>
    </w:p>
    <w:p w:rsidR="005261D3" w:rsidRDefault="005261D3" w:rsidP="005261D3">
      <w:pPr>
        <w:autoSpaceDE w:val="0"/>
        <w:autoSpaceDN w:val="0"/>
        <w:adjustRightInd w:val="0"/>
        <w:spacing w:line="360" w:lineRule="auto"/>
        <w:ind w:firstLine="709"/>
        <w:jc w:val="both"/>
        <w:rPr>
          <w:rFonts w:ascii="Arial" w:hAnsi="Arial" w:cs="Arial"/>
        </w:rPr>
      </w:pPr>
      <w:proofErr w:type="gramEnd"/>
      <w:r>
        <w:rPr>
          <w:rFonts w:ascii="Arial" w:hAnsi="Arial" w:cs="Arial"/>
        </w:rPr>
        <w:t>2) Часть 8 статьи 42 дополнить пунктом «и.1» следующего содержания:</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«и.1) выбытие кандидатов, в результате чего количество территориальных групп кандидатов в городском списке кандидатов оказалось менее половины от количества одномандатных избирательных округов, образованных для проведения выборов депутатов представительного органа городского округа, указанного в части 8.1 статьи 36 настоящего Кодекса</w:t>
      </w:r>
      <w:proofErr w:type="gramStart"/>
      <w:r>
        <w:rPr>
          <w:rFonts w:ascii="Arial" w:hAnsi="Arial" w:cs="Arial"/>
        </w:rPr>
        <w:t>;»</w:t>
      </w:r>
      <w:proofErr w:type="gramEnd"/>
      <w:r>
        <w:rPr>
          <w:rFonts w:ascii="Arial" w:hAnsi="Arial" w:cs="Arial"/>
        </w:rPr>
        <w:t>;</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3) Статью 115.2 дополнить частями 6.1 – 6.5 следующего содержания:</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 xml:space="preserve">«6.1. </w:t>
      </w:r>
      <w:proofErr w:type="gramStart"/>
      <w:r>
        <w:rPr>
          <w:rFonts w:ascii="Arial" w:hAnsi="Arial" w:cs="Arial"/>
        </w:rPr>
        <w:t xml:space="preserve">На выборах депутатов представительного органа городского округа, указанного в части 8.1 статьи 36 настоящего Кодекса, после распределения депутатских мандатов, предусмотренного </w:t>
      </w:r>
      <w:hyperlink r:id="rId5" w:history="1">
        <w:r>
          <w:rPr>
            <w:rStyle w:val="a3"/>
            <w:rFonts w:ascii="Arial" w:hAnsi="Arial" w:cs="Arial"/>
          </w:rPr>
          <w:t>частями 3 – 6</w:t>
        </w:r>
      </w:hyperlink>
      <w:r>
        <w:rPr>
          <w:rFonts w:ascii="Arial" w:hAnsi="Arial" w:cs="Arial"/>
        </w:rPr>
        <w:t xml:space="preserve"> настоящей статьи, дальнейшее распределение депутатских мандатов проводится в соответствии с частями 6.1 – 6.5 настоящей статьи внутри каждого городского списка кандидатов между общей частью городского списка кандидатов и территориальными группами кандидатов. </w:t>
      </w:r>
      <w:proofErr w:type="gramEnd"/>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6.2. В первую очередь депутатские мандаты переходят к зарегистрированным кандидатам, включенным в общую часть городского списка кандидатов, в порядке очередности их размещения в указанном списке.</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6.3. Если после передачи депутатских мандатов зарегистрированным кандидатам, включенным в общую часть городского списка кандидатов,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следующем порядке:</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1) определяется число голосов избирателей, полученных городским списком кандидатов на каждой из территорий, которым соответствуют территориальные группы кандидатов (далее - голоса избирателей, поданные за территориальные группы кандидатов);</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lastRenderedPageBreak/>
        <w:t>2)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территории;</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 xml:space="preserve">3) территориальные группы кандидатов располагаются в порядке убывания доли (процента), указанной (указанного) в </w:t>
      </w:r>
      <w:hyperlink r:id="rId6" w:history="1">
        <w:r>
          <w:rPr>
            <w:rStyle w:val="a3"/>
            <w:rFonts w:ascii="Arial" w:hAnsi="Arial" w:cs="Arial"/>
          </w:rPr>
          <w:t>пункте 2</w:t>
        </w:r>
      </w:hyperlink>
      <w:r>
        <w:rPr>
          <w:rFonts w:ascii="Arial" w:hAnsi="Arial" w:cs="Arial"/>
        </w:rP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При распределении депутатских мандатов внутри территориальной группы, депутатские мандаты передаются кандидатам по порядку их размещения в городском списке кандидатов по соответствующей территориальной группе.</w:t>
      </w:r>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 xml:space="preserve">6.4. </w:t>
      </w:r>
      <w:proofErr w:type="gramStart"/>
      <w:r>
        <w:rPr>
          <w:rFonts w:ascii="Arial" w:hAnsi="Arial" w:cs="Arial"/>
        </w:rPr>
        <w:t xml:space="preserve">Оставшиеся после первоначального распределения депутатских мандатов между территориальными группами нераспределенные мандаты передаются территориальным группам кандидатов в такой же очередности в порядке убывания доли (процента), указанной (указанного) в </w:t>
      </w:r>
      <w:hyperlink r:id="rId7" w:history="1">
        <w:r>
          <w:rPr>
            <w:rStyle w:val="a3"/>
            <w:rFonts w:ascii="Arial" w:hAnsi="Arial" w:cs="Arial"/>
          </w:rPr>
          <w:t xml:space="preserve">пункте 2 части </w:t>
        </w:r>
      </w:hyperlink>
      <w:r>
        <w:rPr>
          <w:rFonts w:ascii="Arial" w:hAnsi="Arial" w:cs="Arial"/>
        </w:rPr>
        <w:t>6.2 настоящей статьи.</w:t>
      </w:r>
      <w:proofErr w:type="gramEnd"/>
    </w:p>
    <w:p w:rsidR="005261D3" w:rsidRDefault="005261D3" w:rsidP="005261D3">
      <w:pPr>
        <w:autoSpaceDE w:val="0"/>
        <w:autoSpaceDN w:val="0"/>
        <w:adjustRightInd w:val="0"/>
        <w:spacing w:line="360" w:lineRule="auto"/>
        <w:ind w:firstLine="709"/>
        <w:jc w:val="both"/>
        <w:rPr>
          <w:rFonts w:ascii="Arial" w:hAnsi="Arial" w:cs="Arial"/>
        </w:rPr>
      </w:pPr>
      <w:r>
        <w:rPr>
          <w:rFonts w:ascii="Arial" w:hAnsi="Arial" w:cs="Arial"/>
        </w:rPr>
        <w:t xml:space="preserve">6.5. </w:t>
      </w:r>
      <w:proofErr w:type="gramStart"/>
      <w:r>
        <w:rPr>
          <w:rFonts w:ascii="Arial" w:hAnsi="Arial" w:cs="Arial"/>
        </w:rPr>
        <w:t>В случае, если в процессе распределения депутатских мандатов внутри городского списка кандидатов в одной территориальной группе кандидатов или нескольких территориальных группах кандидатов не оказалось необходимого количества зарегистрированных кандидатов, оставшиеся нераспределенными депутатские мандаты подлежат дополнительному распределению между теми территориальными группами того же городского списка кандидатов, в которых имеются зарегистрированные кандидаты, не получившие депутатских мандатов, в порядке, установленном частями 6.2 и 6.3</w:t>
      </w:r>
      <w:proofErr w:type="gramEnd"/>
      <w:r>
        <w:rPr>
          <w:rFonts w:ascii="Arial" w:hAnsi="Arial" w:cs="Arial"/>
        </w:rPr>
        <w:t xml:space="preserve"> настоящей статьи</w:t>
      </w:r>
      <w:proofErr w:type="gramStart"/>
      <w:r>
        <w:rPr>
          <w:rFonts w:ascii="Arial" w:hAnsi="Arial" w:cs="Arial"/>
        </w:rPr>
        <w:t>.».</w:t>
      </w:r>
      <w:proofErr w:type="gramEnd"/>
    </w:p>
    <w:p w:rsidR="005261D3" w:rsidRDefault="005261D3" w:rsidP="005261D3">
      <w:pPr>
        <w:spacing w:line="360" w:lineRule="auto"/>
        <w:ind w:firstLine="709"/>
        <w:jc w:val="both"/>
        <w:rPr>
          <w:rFonts w:ascii="Arial" w:hAnsi="Arial" w:cs="Arial"/>
        </w:rPr>
      </w:pPr>
    </w:p>
    <w:p w:rsidR="005261D3" w:rsidRDefault="005261D3" w:rsidP="005261D3">
      <w:pPr>
        <w:spacing w:line="360" w:lineRule="auto"/>
        <w:ind w:firstLine="709"/>
        <w:jc w:val="both"/>
        <w:rPr>
          <w:rFonts w:ascii="Arial" w:hAnsi="Arial" w:cs="Arial"/>
          <w:b/>
        </w:rPr>
      </w:pPr>
      <w:r>
        <w:rPr>
          <w:rFonts w:ascii="Arial" w:hAnsi="Arial" w:cs="Arial"/>
          <w:b/>
        </w:rPr>
        <w:t>Статья 2</w:t>
      </w:r>
    </w:p>
    <w:p w:rsidR="005261D3" w:rsidRDefault="005261D3" w:rsidP="005261D3">
      <w:pPr>
        <w:autoSpaceDE w:val="0"/>
        <w:autoSpaceDN w:val="0"/>
        <w:adjustRightInd w:val="0"/>
        <w:spacing w:line="360" w:lineRule="auto"/>
        <w:ind w:firstLine="709"/>
        <w:jc w:val="both"/>
        <w:outlineLvl w:val="0"/>
        <w:rPr>
          <w:rFonts w:ascii="Arial" w:hAnsi="Arial" w:cs="Arial"/>
        </w:rPr>
      </w:pPr>
      <w:r>
        <w:rPr>
          <w:rFonts w:ascii="Arial" w:hAnsi="Arial" w:cs="Arial"/>
        </w:rPr>
        <w:t>Настоящий Закон вступает в силу со дня его официального опубликования.</w:t>
      </w:r>
    </w:p>
    <w:p w:rsidR="005261D3" w:rsidRDefault="005261D3" w:rsidP="005261D3">
      <w:pPr>
        <w:pStyle w:val="ConsPlusNormal"/>
        <w:widowControl/>
        <w:spacing w:line="360" w:lineRule="auto"/>
        <w:ind w:firstLine="0"/>
        <w:jc w:val="both"/>
        <w:rPr>
          <w:sz w:val="24"/>
          <w:szCs w:val="24"/>
        </w:rPr>
      </w:pPr>
    </w:p>
    <w:p w:rsidR="005261D3" w:rsidRDefault="005261D3" w:rsidP="005261D3">
      <w:pPr>
        <w:pStyle w:val="ConsPlusNormal"/>
        <w:widowControl/>
        <w:spacing w:line="360" w:lineRule="auto"/>
        <w:ind w:firstLine="0"/>
        <w:jc w:val="both"/>
        <w:rPr>
          <w:sz w:val="24"/>
          <w:szCs w:val="24"/>
        </w:rPr>
      </w:pPr>
      <w:r>
        <w:rPr>
          <w:sz w:val="24"/>
          <w:szCs w:val="24"/>
        </w:rPr>
        <w:t>Губернатор Тюменской области                                                                 В.В. Якушев</w:t>
      </w:r>
    </w:p>
    <w:p w:rsidR="005261D3" w:rsidRDefault="005261D3" w:rsidP="005261D3">
      <w:pPr>
        <w:pStyle w:val="ConsPlusNormal"/>
        <w:widowControl/>
        <w:spacing w:before="120" w:line="360" w:lineRule="auto"/>
        <w:ind w:firstLine="0"/>
        <w:jc w:val="both"/>
        <w:rPr>
          <w:sz w:val="24"/>
          <w:szCs w:val="24"/>
        </w:rPr>
      </w:pPr>
      <w:r>
        <w:rPr>
          <w:sz w:val="24"/>
          <w:szCs w:val="24"/>
        </w:rPr>
        <w:t>«____» ______________  2013 г.</w:t>
      </w:r>
    </w:p>
    <w:p w:rsidR="005261D3" w:rsidRDefault="005261D3" w:rsidP="005261D3">
      <w:pPr>
        <w:pStyle w:val="ConsPlusNormal"/>
        <w:widowControl/>
        <w:spacing w:line="360" w:lineRule="auto"/>
        <w:ind w:firstLine="0"/>
        <w:jc w:val="both"/>
        <w:rPr>
          <w:sz w:val="24"/>
          <w:szCs w:val="24"/>
        </w:rPr>
      </w:pPr>
    </w:p>
    <w:p w:rsidR="005261D3" w:rsidRDefault="005261D3" w:rsidP="005261D3">
      <w:pPr>
        <w:pStyle w:val="ConsPlusNormal"/>
        <w:widowControl/>
        <w:spacing w:line="360" w:lineRule="auto"/>
        <w:ind w:firstLine="0"/>
        <w:jc w:val="both"/>
        <w:rPr>
          <w:sz w:val="24"/>
          <w:szCs w:val="24"/>
        </w:rPr>
      </w:pPr>
      <w:r>
        <w:rPr>
          <w:sz w:val="24"/>
          <w:szCs w:val="24"/>
        </w:rPr>
        <w:lastRenderedPageBreak/>
        <w:t xml:space="preserve">№ ______ </w:t>
      </w:r>
      <w:r>
        <w:rPr>
          <w:sz w:val="24"/>
          <w:szCs w:val="24"/>
        </w:rPr>
        <w:tab/>
      </w:r>
      <w:r>
        <w:rPr>
          <w:sz w:val="24"/>
          <w:szCs w:val="24"/>
        </w:rPr>
        <w:tab/>
        <w:t xml:space="preserve">    г. Тюмень</w:t>
      </w:r>
    </w:p>
    <w:p w:rsidR="005261D3" w:rsidRDefault="005261D3" w:rsidP="005261D3">
      <w:pPr>
        <w:pStyle w:val="ConsPlusNormal"/>
        <w:widowControl/>
        <w:ind w:firstLine="0"/>
        <w:jc w:val="center"/>
        <w:rPr>
          <w:b/>
          <w:sz w:val="28"/>
          <w:szCs w:val="28"/>
        </w:rPr>
      </w:pPr>
      <w:r>
        <w:br w:type="page"/>
      </w:r>
      <w:r>
        <w:rPr>
          <w:b/>
          <w:sz w:val="28"/>
          <w:szCs w:val="28"/>
        </w:rPr>
        <w:lastRenderedPageBreak/>
        <w:t>ПОЯСНИТЕЛЬНАЯ ЗАПИСКА</w:t>
      </w:r>
    </w:p>
    <w:p w:rsidR="005261D3" w:rsidRDefault="005261D3" w:rsidP="005261D3">
      <w:pPr>
        <w:autoSpaceDE w:val="0"/>
        <w:autoSpaceDN w:val="0"/>
        <w:adjustRightInd w:val="0"/>
        <w:ind w:right="-82"/>
        <w:jc w:val="center"/>
        <w:rPr>
          <w:rFonts w:ascii="Arial" w:hAnsi="Arial" w:cs="Arial"/>
          <w:b/>
          <w:sz w:val="28"/>
          <w:szCs w:val="28"/>
        </w:rPr>
      </w:pPr>
      <w:r>
        <w:rPr>
          <w:rFonts w:ascii="Arial" w:hAnsi="Arial" w:cs="Arial"/>
          <w:b/>
          <w:sz w:val="28"/>
          <w:szCs w:val="28"/>
        </w:rPr>
        <w:t xml:space="preserve">к проекту закона Тюменской области </w:t>
      </w:r>
      <w:r>
        <w:rPr>
          <w:rFonts w:ascii="Arial" w:hAnsi="Arial" w:cs="Arial"/>
          <w:b/>
          <w:sz w:val="28"/>
          <w:szCs w:val="28"/>
        </w:rPr>
        <w:br/>
        <w:t xml:space="preserve">«О внесении изменений в Избирательный кодекс </w:t>
      </w:r>
      <w:r>
        <w:rPr>
          <w:rFonts w:ascii="Arial" w:hAnsi="Arial" w:cs="Arial"/>
          <w:b/>
          <w:sz w:val="28"/>
          <w:szCs w:val="28"/>
        </w:rPr>
        <w:br/>
        <w:t>(Закон) Тюменской области»</w:t>
      </w: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roofErr w:type="gramStart"/>
      <w:r>
        <w:rPr>
          <w:rFonts w:ascii="Arial" w:hAnsi="Arial" w:cs="Arial"/>
          <w:sz w:val="28"/>
          <w:szCs w:val="28"/>
        </w:rPr>
        <w:t>Проект Закона Тюменской области «О внесении изменений в Избирательный кодекс (Закон) Тюменской области» подготовлен в целях предоставления политическим партиям (их региональным и местным отделениям), участвующим в выборах депутатов представительных органов городских округов по смешанной избирательной системе, возможности разделять выдвинутый ими список кандидатов в депутаты по единому избирательному округу на территориальные группы, которые должны соответствовать территориям одномандатных избирательных округов.</w:t>
      </w:r>
      <w:proofErr w:type="gramEnd"/>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r>
        <w:rPr>
          <w:rFonts w:ascii="Arial" w:hAnsi="Arial" w:cs="Arial"/>
          <w:sz w:val="28"/>
          <w:szCs w:val="28"/>
        </w:rPr>
        <w:t xml:space="preserve">Положения данного законопроекта распространяются только на выборы депутатов представительных органов городских округов Тюменской области в случае, если численность представительного органа в указанных городах составляет 35 и более депутатов.  </w:t>
      </w: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r>
        <w:rPr>
          <w:rFonts w:ascii="Arial" w:hAnsi="Arial" w:cs="Arial"/>
          <w:sz w:val="28"/>
          <w:szCs w:val="28"/>
        </w:rPr>
        <w:t xml:space="preserve">Законопроектом предусматривается, что </w:t>
      </w:r>
      <w:r>
        <w:rPr>
          <w:rFonts w:ascii="Arial" w:eastAsiaTheme="minorHAnsi" w:hAnsi="Arial" w:cs="Arial"/>
          <w:sz w:val="28"/>
          <w:szCs w:val="28"/>
          <w:lang w:eastAsia="en-US"/>
        </w:rPr>
        <w:t>в общую часть и соответствующую территориальную группу списка кандидатов должно быть включено не более трех кандидатов.</w:t>
      </w: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roofErr w:type="gramStart"/>
      <w:r>
        <w:rPr>
          <w:rFonts w:ascii="Arial" w:hAnsi="Arial" w:cs="Arial"/>
          <w:sz w:val="28"/>
          <w:szCs w:val="28"/>
        </w:rPr>
        <w:t>Принятие представленного проекта закона Тюменской области позволит политическим партиям, их региональным и местным отделениям формировать собственный список кандидатов в депутаты представительного органа с учетом закрепления конкретных кандидатов в депутаты, выдвинутых в составе списка, за определенной территорией городского округа (по аналогии с избирательными округами), что обеспечит, во-первых, устойчивую связь избранного депутата с жителями подведомственной ему территорией муниципалитета, а, во-вторых, усилит внутрипартийную</w:t>
      </w:r>
      <w:proofErr w:type="gramEnd"/>
      <w:r>
        <w:rPr>
          <w:rFonts w:ascii="Arial" w:hAnsi="Arial" w:cs="Arial"/>
          <w:sz w:val="28"/>
          <w:szCs w:val="28"/>
        </w:rPr>
        <w:t xml:space="preserve"> конкуренцию между выдвинутыми кандидатами, зарегистрированными в составе списка от политической партии.  </w:t>
      </w: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r>
        <w:rPr>
          <w:rFonts w:ascii="Arial" w:hAnsi="Arial" w:cs="Arial"/>
          <w:sz w:val="28"/>
          <w:szCs w:val="28"/>
        </w:rPr>
        <w:t xml:space="preserve">  </w:t>
      </w: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right="-79" w:firstLine="720"/>
        <w:jc w:val="both"/>
        <w:rPr>
          <w:rFonts w:ascii="Arial" w:hAnsi="Arial" w:cs="Arial"/>
          <w:sz w:val="28"/>
          <w:szCs w:val="28"/>
        </w:rPr>
      </w:pPr>
    </w:p>
    <w:p w:rsidR="005261D3" w:rsidRDefault="005261D3" w:rsidP="005261D3">
      <w:pPr>
        <w:tabs>
          <w:tab w:val="left" w:pos="2955"/>
        </w:tabs>
        <w:autoSpaceDE w:val="0"/>
        <w:autoSpaceDN w:val="0"/>
        <w:adjustRightInd w:val="0"/>
        <w:ind w:firstLine="720"/>
        <w:jc w:val="center"/>
        <w:rPr>
          <w:rFonts w:ascii="Arial" w:hAnsi="Arial" w:cs="Arial"/>
          <w:b/>
          <w:sz w:val="28"/>
          <w:szCs w:val="28"/>
        </w:rPr>
      </w:pPr>
      <w:r>
        <w:rPr>
          <w:rFonts w:ascii="Arial" w:hAnsi="Arial" w:cs="Arial"/>
          <w:b/>
          <w:sz w:val="28"/>
          <w:szCs w:val="28"/>
        </w:rPr>
        <w:lastRenderedPageBreak/>
        <w:t>ФИНАНСОВО-ЭКОНОМИЧЕСКОЕ ОБОСНОВАНИЕ</w:t>
      </w:r>
    </w:p>
    <w:p w:rsidR="005261D3" w:rsidRDefault="005261D3" w:rsidP="005261D3">
      <w:pPr>
        <w:jc w:val="center"/>
        <w:rPr>
          <w:rFonts w:ascii="Arial" w:hAnsi="Arial" w:cs="Arial"/>
          <w:b/>
          <w:bCs/>
          <w:sz w:val="28"/>
          <w:szCs w:val="28"/>
        </w:rPr>
      </w:pPr>
      <w:r>
        <w:rPr>
          <w:rFonts w:ascii="Arial" w:hAnsi="Arial" w:cs="Arial"/>
          <w:b/>
          <w:sz w:val="28"/>
          <w:szCs w:val="28"/>
        </w:rPr>
        <w:t>проекта закона Тюменской области «О внесении изменений в Избирательный кодекс (Закон) Тюменской области»</w:t>
      </w:r>
    </w:p>
    <w:p w:rsidR="005261D3" w:rsidRDefault="005261D3" w:rsidP="005261D3">
      <w:pPr>
        <w:ind w:firstLine="720"/>
        <w:jc w:val="both"/>
        <w:rPr>
          <w:rFonts w:ascii="Arial" w:hAnsi="Arial" w:cs="Arial"/>
          <w:b/>
          <w:bCs/>
          <w:sz w:val="28"/>
          <w:szCs w:val="28"/>
        </w:rPr>
      </w:pPr>
    </w:p>
    <w:p w:rsidR="005261D3" w:rsidRDefault="005261D3" w:rsidP="005261D3">
      <w:pPr>
        <w:ind w:firstLine="720"/>
        <w:jc w:val="both"/>
        <w:rPr>
          <w:rFonts w:ascii="Arial" w:hAnsi="Arial" w:cs="Arial"/>
          <w:bCs/>
          <w:sz w:val="28"/>
          <w:szCs w:val="28"/>
        </w:rPr>
      </w:pPr>
      <w:r>
        <w:rPr>
          <w:rFonts w:ascii="Arial" w:hAnsi="Arial" w:cs="Arial"/>
          <w:color w:val="000000"/>
          <w:sz w:val="28"/>
          <w:szCs w:val="28"/>
        </w:rPr>
        <w:t xml:space="preserve">Принятие и реализация Закона Тюменской области </w:t>
      </w:r>
      <w:r>
        <w:rPr>
          <w:rFonts w:ascii="Arial" w:hAnsi="Arial" w:cs="Arial"/>
          <w:sz w:val="28"/>
          <w:szCs w:val="28"/>
        </w:rPr>
        <w:t xml:space="preserve">«О внесении изменений Избирательный кодекс (Закон) Тюменской области» не </w:t>
      </w:r>
      <w:r>
        <w:rPr>
          <w:rFonts w:ascii="Arial" w:hAnsi="Arial" w:cs="Arial"/>
          <w:color w:val="000000"/>
          <w:sz w:val="28"/>
          <w:szCs w:val="28"/>
        </w:rPr>
        <w:t>потребует дополнительных расходов за счет средств областного бюджета.</w:t>
      </w:r>
    </w:p>
    <w:p w:rsidR="005261D3" w:rsidRDefault="005261D3" w:rsidP="005261D3">
      <w:pPr>
        <w:ind w:firstLine="720"/>
        <w:jc w:val="both"/>
        <w:rPr>
          <w:rFonts w:ascii="Arial" w:hAnsi="Arial" w:cs="Arial"/>
          <w:b/>
          <w:sz w:val="28"/>
          <w:szCs w:val="28"/>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ind w:firstLine="720"/>
        <w:jc w:val="both"/>
        <w:rPr>
          <w:rFonts w:ascii="Arial" w:hAnsi="Arial" w:cs="Arial"/>
          <w:b/>
          <w:sz w:val="26"/>
          <w:szCs w:val="26"/>
        </w:rPr>
      </w:pPr>
    </w:p>
    <w:p w:rsidR="005261D3" w:rsidRDefault="005261D3" w:rsidP="005261D3">
      <w:pPr>
        <w:jc w:val="center"/>
        <w:rPr>
          <w:rFonts w:ascii="Arial" w:hAnsi="Arial" w:cs="Arial"/>
          <w:b/>
          <w:sz w:val="26"/>
          <w:szCs w:val="26"/>
        </w:rPr>
      </w:pPr>
      <w:r>
        <w:rPr>
          <w:rFonts w:ascii="Arial" w:hAnsi="Arial" w:cs="Arial"/>
          <w:b/>
          <w:sz w:val="26"/>
          <w:szCs w:val="26"/>
        </w:rPr>
        <w:br w:type="page"/>
      </w:r>
    </w:p>
    <w:p w:rsidR="005261D3" w:rsidRDefault="005261D3" w:rsidP="005261D3">
      <w:pPr>
        <w:jc w:val="center"/>
        <w:rPr>
          <w:rFonts w:ascii="Arial" w:hAnsi="Arial" w:cs="Arial"/>
          <w:b/>
          <w:sz w:val="28"/>
          <w:szCs w:val="28"/>
        </w:rPr>
      </w:pPr>
      <w:r>
        <w:rPr>
          <w:rFonts w:ascii="Arial" w:hAnsi="Arial" w:cs="Arial"/>
          <w:b/>
          <w:sz w:val="28"/>
          <w:szCs w:val="28"/>
        </w:rPr>
        <w:lastRenderedPageBreak/>
        <w:t>ПЕРЕЧЕНЬ</w:t>
      </w:r>
    </w:p>
    <w:p w:rsidR="005261D3" w:rsidRDefault="005261D3" w:rsidP="005261D3">
      <w:pPr>
        <w:jc w:val="center"/>
        <w:rPr>
          <w:rFonts w:ascii="Arial" w:hAnsi="Arial" w:cs="Arial"/>
          <w:b/>
          <w:bCs/>
          <w:sz w:val="28"/>
          <w:szCs w:val="28"/>
        </w:rPr>
      </w:pPr>
      <w:r>
        <w:rPr>
          <w:rFonts w:ascii="Arial" w:hAnsi="Arial" w:cs="Arial"/>
          <w:b/>
          <w:sz w:val="28"/>
          <w:szCs w:val="28"/>
        </w:rPr>
        <w:t xml:space="preserve">законов, подлежащих признанию </w:t>
      </w:r>
      <w:proofErr w:type="gramStart"/>
      <w:r>
        <w:rPr>
          <w:rFonts w:ascii="Arial" w:hAnsi="Arial" w:cs="Arial"/>
          <w:b/>
          <w:sz w:val="28"/>
          <w:szCs w:val="28"/>
        </w:rPr>
        <w:t>утратившими</w:t>
      </w:r>
      <w:proofErr w:type="gramEnd"/>
      <w:r>
        <w:rPr>
          <w:rFonts w:ascii="Arial" w:hAnsi="Arial" w:cs="Arial"/>
          <w:b/>
          <w:sz w:val="28"/>
          <w:szCs w:val="28"/>
        </w:rPr>
        <w:t xml:space="preserve"> силу, приостановлению, изменению или принятию в связи с принятием</w:t>
      </w:r>
      <w:r>
        <w:rPr>
          <w:rFonts w:ascii="Arial" w:hAnsi="Arial" w:cs="Arial"/>
          <w:b/>
          <w:bCs/>
          <w:sz w:val="28"/>
          <w:szCs w:val="28"/>
        </w:rPr>
        <w:t xml:space="preserve"> Закона Тюменской области </w:t>
      </w:r>
      <w:r>
        <w:rPr>
          <w:rFonts w:ascii="Arial" w:hAnsi="Arial" w:cs="Arial"/>
          <w:b/>
          <w:sz w:val="28"/>
          <w:szCs w:val="28"/>
        </w:rPr>
        <w:t>«О внесении изменений в Избирательный кодекс (Закон) Тюменской области»</w:t>
      </w:r>
    </w:p>
    <w:p w:rsidR="005261D3" w:rsidRDefault="005261D3" w:rsidP="005261D3">
      <w:pPr>
        <w:jc w:val="both"/>
        <w:rPr>
          <w:rFonts w:ascii="Arial" w:hAnsi="Arial" w:cs="Arial"/>
          <w:b/>
          <w:sz w:val="28"/>
          <w:szCs w:val="28"/>
        </w:rPr>
      </w:pPr>
    </w:p>
    <w:p w:rsidR="005261D3" w:rsidRDefault="005261D3" w:rsidP="005261D3">
      <w:pPr>
        <w:ind w:firstLine="720"/>
        <w:jc w:val="both"/>
        <w:rPr>
          <w:rFonts w:ascii="Arial" w:hAnsi="Arial" w:cs="Arial"/>
          <w:sz w:val="28"/>
          <w:szCs w:val="28"/>
        </w:rPr>
      </w:pPr>
      <w:r>
        <w:rPr>
          <w:rFonts w:ascii="Arial" w:hAnsi="Arial" w:cs="Arial"/>
          <w:bCs/>
          <w:sz w:val="28"/>
          <w:szCs w:val="28"/>
        </w:rPr>
        <w:t xml:space="preserve">Принятие Закона Тюменской области </w:t>
      </w:r>
      <w:r>
        <w:rPr>
          <w:rFonts w:ascii="Arial" w:hAnsi="Arial" w:cs="Arial"/>
          <w:sz w:val="28"/>
          <w:szCs w:val="28"/>
        </w:rPr>
        <w:t xml:space="preserve">«О внесении изменений в Избирательный кодекс (Закон) Тюменской области» не потребует признания </w:t>
      </w:r>
      <w:proofErr w:type="gramStart"/>
      <w:r>
        <w:rPr>
          <w:rFonts w:ascii="Arial" w:hAnsi="Arial" w:cs="Arial"/>
          <w:sz w:val="28"/>
          <w:szCs w:val="28"/>
        </w:rPr>
        <w:t>утратившими</w:t>
      </w:r>
      <w:proofErr w:type="gramEnd"/>
      <w:r>
        <w:rPr>
          <w:rFonts w:ascii="Arial" w:hAnsi="Arial" w:cs="Arial"/>
          <w:sz w:val="28"/>
          <w:szCs w:val="28"/>
        </w:rPr>
        <w:t xml:space="preserve"> силу, приостановления, изменения, дополнения действующих законов Тюменской области.</w:t>
      </w:r>
    </w:p>
    <w:p w:rsidR="005261D3" w:rsidRDefault="005261D3" w:rsidP="005261D3">
      <w:pPr>
        <w:ind w:firstLine="720"/>
        <w:jc w:val="both"/>
        <w:rPr>
          <w:rFonts w:ascii="Arial" w:hAnsi="Arial" w:cs="Arial"/>
          <w:bCs/>
          <w:sz w:val="28"/>
          <w:szCs w:val="28"/>
        </w:rPr>
      </w:pPr>
    </w:p>
    <w:p w:rsidR="005261D3" w:rsidRDefault="005261D3" w:rsidP="005261D3">
      <w:pPr>
        <w:ind w:firstLine="720"/>
        <w:jc w:val="both"/>
        <w:rPr>
          <w:rFonts w:ascii="Arial" w:hAnsi="Arial" w:cs="Arial"/>
          <w:b/>
          <w:sz w:val="26"/>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jc w:val="center"/>
        <w:rPr>
          <w:b/>
          <w:bCs/>
          <w:szCs w:val="26"/>
        </w:rPr>
      </w:pPr>
    </w:p>
    <w:p w:rsidR="005261D3" w:rsidRDefault="005261D3" w:rsidP="005261D3">
      <w:pPr>
        <w:pStyle w:val="2"/>
        <w:spacing w:after="0" w:line="240" w:lineRule="auto"/>
        <w:ind w:left="0"/>
        <w:jc w:val="center"/>
        <w:rPr>
          <w:rFonts w:ascii="Arial" w:hAnsi="Arial" w:cs="Arial"/>
          <w:b/>
          <w:bCs/>
          <w:caps/>
          <w:sz w:val="28"/>
          <w:szCs w:val="28"/>
        </w:rPr>
      </w:pPr>
      <w:r>
        <w:rPr>
          <w:b/>
          <w:bCs/>
          <w:szCs w:val="26"/>
        </w:rPr>
        <w:br w:type="page"/>
      </w:r>
      <w:r>
        <w:rPr>
          <w:rFonts w:ascii="Arial" w:hAnsi="Arial" w:cs="Arial"/>
          <w:b/>
          <w:bCs/>
          <w:sz w:val="28"/>
          <w:szCs w:val="28"/>
        </w:rPr>
        <w:lastRenderedPageBreak/>
        <w:t>СПРАВКА</w:t>
      </w:r>
    </w:p>
    <w:p w:rsidR="005261D3" w:rsidRDefault="005261D3" w:rsidP="005261D3">
      <w:pPr>
        <w:pStyle w:val="2"/>
        <w:ind w:left="0"/>
        <w:jc w:val="center"/>
        <w:rPr>
          <w:rFonts w:ascii="Arial" w:hAnsi="Arial" w:cs="Arial"/>
          <w:b/>
          <w:bCs/>
          <w:caps/>
          <w:sz w:val="28"/>
          <w:szCs w:val="28"/>
        </w:rPr>
      </w:pPr>
      <w:r>
        <w:rPr>
          <w:rFonts w:ascii="Arial" w:hAnsi="Arial" w:cs="Arial"/>
          <w:b/>
          <w:bCs/>
          <w:sz w:val="28"/>
          <w:szCs w:val="28"/>
        </w:rPr>
        <w:t>о состоянии законодательства, регулирующего данную сферу</w:t>
      </w:r>
    </w:p>
    <w:p w:rsidR="005261D3" w:rsidRDefault="005261D3" w:rsidP="005261D3">
      <w:pPr>
        <w:pStyle w:val="ConsPlusTitle"/>
        <w:widowControl/>
        <w:ind w:firstLine="709"/>
        <w:jc w:val="both"/>
        <w:rPr>
          <w:b w:val="0"/>
          <w:sz w:val="28"/>
          <w:szCs w:val="28"/>
        </w:rPr>
      </w:pPr>
      <w:r>
        <w:rPr>
          <w:b w:val="0"/>
          <w:sz w:val="28"/>
          <w:szCs w:val="28"/>
        </w:rPr>
        <w:t>1. Конституция Российской Федерации;</w:t>
      </w:r>
    </w:p>
    <w:p w:rsidR="005261D3" w:rsidRDefault="005261D3" w:rsidP="005261D3">
      <w:pPr>
        <w:pStyle w:val="ConsPlusTitle"/>
        <w:widowControl/>
        <w:ind w:firstLine="709"/>
        <w:jc w:val="both"/>
        <w:rPr>
          <w:b w:val="0"/>
          <w:sz w:val="28"/>
          <w:szCs w:val="28"/>
        </w:rPr>
      </w:pPr>
      <w:r>
        <w:rPr>
          <w:b w:val="0"/>
          <w:sz w:val="28"/>
          <w:szCs w:val="28"/>
        </w:rPr>
        <w:t>2. Федеральный закон от 12.06.2002 № 67-ФЗ «Об основных гарантиях избирательных прав и права на участие в референдуме граждан Российской Федерации»;</w:t>
      </w:r>
    </w:p>
    <w:p w:rsidR="005261D3" w:rsidRDefault="005261D3" w:rsidP="005261D3">
      <w:pPr>
        <w:pStyle w:val="ConsPlusTitle"/>
        <w:widowControl/>
        <w:ind w:firstLine="709"/>
        <w:jc w:val="both"/>
        <w:rPr>
          <w:b w:val="0"/>
          <w:sz w:val="28"/>
          <w:szCs w:val="28"/>
        </w:rPr>
      </w:pPr>
      <w:r>
        <w:rPr>
          <w:b w:val="0"/>
          <w:sz w:val="28"/>
          <w:szCs w:val="28"/>
        </w:rPr>
        <w:t>3. Федеральный закон от 06.10.2003 № 131-ФЗ «Об общих принципах организации местного самоуправления в Российской Федерации»;</w:t>
      </w:r>
    </w:p>
    <w:p w:rsidR="005261D3" w:rsidRDefault="005261D3" w:rsidP="005261D3">
      <w:pPr>
        <w:pStyle w:val="ConsPlusTitle"/>
        <w:widowControl/>
        <w:ind w:firstLine="709"/>
        <w:jc w:val="both"/>
        <w:rPr>
          <w:b w:val="0"/>
          <w:sz w:val="28"/>
          <w:szCs w:val="28"/>
        </w:rPr>
      </w:pPr>
      <w:r>
        <w:rPr>
          <w:b w:val="0"/>
          <w:sz w:val="28"/>
          <w:szCs w:val="28"/>
        </w:rPr>
        <w:t>4. Устав Тюменской области от 03.06.1995 № 6;</w:t>
      </w:r>
    </w:p>
    <w:p w:rsidR="005261D3" w:rsidRDefault="005261D3" w:rsidP="005261D3">
      <w:pPr>
        <w:pStyle w:val="ConsPlusTitle"/>
        <w:widowControl/>
        <w:ind w:firstLine="709"/>
        <w:jc w:val="both"/>
        <w:rPr>
          <w:b w:val="0"/>
          <w:sz w:val="28"/>
          <w:szCs w:val="28"/>
        </w:rPr>
      </w:pPr>
      <w:r>
        <w:rPr>
          <w:b w:val="0"/>
          <w:sz w:val="28"/>
          <w:szCs w:val="28"/>
        </w:rPr>
        <w:t>5. Избирательный кодекс (Закон) Тюменской области от 03.06.2003 № 139.</w:t>
      </w:r>
    </w:p>
    <w:p w:rsidR="005261D3" w:rsidRDefault="005261D3" w:rsidP="005261D3">
      <w:pPr>
        <w:autoSpaceDE w:val="0"/>
        <w:autoSpaceDN w:val="0"/>
        <w:adjustRightInd w:val="0"/>
        <w:ind w:firstLine="709"/>
        <w:jc w:val="both"/>
      </w:pPr>
    </w:p>
    <w:p w:rsidR="005261D3" w:rsidRDefault="005261D3" w:rsidP="005261D3">
      <w:pPr>
        <w:autoSpaceDE w:val="0"/>
        <w:autoSpaceDN w:val="0"/>
        <w:adjustRightInd w:val="0"/>
        <w:ind w:firstLine="709"/>
        <w:jc w:val="both"/>
        <w:rPr>
          <w:rFonts w:ascii="Arial" w:hAnsi="Arial" w:cs="Arial"/>
        </w:rPr>
      </w:pPr>
    </w:p>
    <w:p w:rsidR="005261D3" w:rsidRDefault="005261D3" w:rsidP="005261D3">
      <w:pPr>
        <w:autoSpaceDE w:val="0"/>
        <w:autoSpaceDN w:val="0"/>
        <w:adjustRightInd w:val="0"/>
        <w:ind w:firstLine="709"/>
        <w:jc w:val="both"/>
        <w:rPr>
          <w:rFonts w:ascii="Arial" w:hAnsi="Arial" w:cs="Arial"/>
        </w:rPr>
      </w:pPr>
    </w:p>
    <w:p w:rsidR="00765494" w:rsidRDefault="00765494">
      <w:bookmarkStart w:id="0" w:name="_GoBack"/>
      <w:bookmarkEnd w:id="0"/>
    </w:p>
    <w:sectPr w:rsidR="00765494" w:rsidSect="00CA66AB">
      <w:pgSz w:w="11906" w:h="16838"/>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D3"/>
    <w:rsid w:val="000775DF"/>
    <w:rsid w:val="000C03B7"/>
    <w:rsid w:val="00174B30"/>
    <w:rsid w:val="001D5D3B"/>
    <w:rsid w:val="00202296"/>
    <w:rsid w:val="00202E23"/>
    <w:rsid w:val="00235E45"/>
    <w:rsid w:val="00270486"/>
    <w:rsid w:val="00286EE2"/>
    <w:rsid w:val="002F1587"/>
    <w:rsid w:val="0031199F"/>
    <w:rsid w:val="00401D01"/>
    <w:rsid w:val="004057F2"/>
    <w:rsid w:val="00462DDE"/>
    <w:rsid w:val="00482011"/>
    <w:rsid w:val="004C4098"/>
    <w:rsid w:val="005261D3"/>
    <w:rsid w:val="00582269"/>
    <w:rsid w:val="005A71E3"/>
    <w:rsid w:val="005D67D7"/>
    <w:rsid w:val="005E6E2F"/>
    <w:rsid w:val="005E6FA2"/>
    <w:rsid w:val="0067336A"/>
    <w:rsid w:val="00686A20"/>
    <w:rsid w:val="00705F30"/>
    <w:rsid w:val="00765494"/>
    <w:rsid w:val="00920EC2"/>
    <w:rsid w:val="00922E21"/>
    <w:rsid w:val="00961005"/>
    <w:rsid w:val="009A7B21"/>
    <w:rsid w:val="00A67B30"/>
    <w:rsid w:val="00B26584"/>
    <w:rsid w:val="00CA66AB"/>
    <w:rsid w:val="00CB32B9"/>
    <w:rsid w:val="00CC6983"/>
    <w:rsid w:val="00CF31BB"/>
    <w:rsid w:val="00D72F2A"/>
    <w:rsid w:val="00D83796"/>
    <w:rsid w:val="00D92988"/>
    <w:rsid w:val="00DF70F8"/>
    <w:rsid w:val="00E57A8F"/>
    <w:rsid w:val="00E725F8"/>
    <w:rsid w:val="00E92BB3"/>
    <w:rsid w:val="00EF52D0"/>
    <w:rsid w:val="00EF5CB2"/>
    <w:rsid w:val="00FD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61D3"/>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1D3"/>
    <w:rPr>
      <w:rFonts w:ascii="Times New Roman" w:eastAsia="Times New Roman" w:hAnsi="Times New Roman" w:cs="Times New Roman"/>
      <w:b/>
      <w:sz w:val="36"/>
      <w:szCs w:val="20"/>
      <w:lang w:eastAsia="ru-RU"/>
    </w:rPr>
  </w:style>
  <w:style w:type="paragraph" w:styleId="2">
    <w:name w:val="Body Text Indent 2"/>
    <w:basedOn w:val="a"/>
    <w:link w:val="20"/>
    <w:semiHidden/>
    <w:unhideWhenUsed/>
    <w:rsid w:val="005261D3"/>
    <w:pPr>
      <w:spacing w:after="120" w:line="480" w:lineRule="auto"/>
      <w:ind w:left="283"/>
    </w:pPr>
  </w:style>
  <w:style w:type="character" w:customStyle="1" w:styleId="20">
    <w:name w:val="Основной текст с отступом 2 Знак"/>
    <w:basedOn w:val="a0"/>
    <w:link w:val="2"/>
    <w:semiHidden/>
    <w:rsid w:val="005261D3"/>
    <w:rPr>
      <w:rFonts w:ascii="Times New Roman" w:eastAsia="Times New Roman" w:hAnsi="Times New Roman" w:cs="Times New Roman"/>
      <w:sz w:val="24"/>
      <w:szCs w:val="24"/>
      <w:lang w:eastAsia="ru-RU"/>
    </w:rPr>
  </w:style>
  <w:style w:type="paragraph" w:customStyle="1" w:styleId="ConsPlusNormal">
    <w:name w:val="ConsPlusNormal"/>
    <w:rsid w:val="005261D3"/>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526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261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61D3"/>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1D3"/>
    <w:rPr>
      <w:rFonts w:ascii="Times New Roman" w:eastAsia="Times New Roman" w:hAnsi="Times New Roman" w:cs="Times New Roman"/>
      <w:b/>
      <w:sz w:val="36"/>
      <w:szCs w:val="20"/>
      <w:lang w:eastAsia="ru-RU"/>
    </w:rPr>
  </w:style>
  <w:style w:type="paragraph" w:styleId="2">
    <w:name w:val="Body Text Indent 2"/>
    <w:basedOn w:val="a"/>
    <w:link w:val="20"/>
    <w:semiHidden/>
    <w:unhideWhenUsed/>
    <w:rsid w:val="005261D3"/>
    <w:pPr>
      <w:spacing w:after="120" w:line="480" w:lineRule="auto"/>
      <w:ind w:left="283"/>
    </w:pPr>
  </w:style>
  <w:style w:type="character" w:customStyle="1" w:styleId="20">
    <w:name w:val="Основной текст с отступом 2 Знак"/>
    <w:basedOn w:val="a0"/>
    <w:link w:val="2"/>
    <w:semiHidden/>
    <w:rsid w:val="005261D3"/>
    <w:rPr>
      <w:rFonts w:ascii="Times New Roman" w:eastAsia="Times New Roman" w:hAnsi="Times New Roman" w:cs="Times New Roman"/>
      <w:sz w:val="24"/>
      <w:szCs w:val="24"/>
      <w:lang w:eastAsia="ru-RU"/>
    </w:rPr>
  </w:style>
  <w:style w:type="paragraph" w:customStyle="1" w:styleId="ConsPlusNormal">
    <w:name w:val="ConsPlusNormal"/>
    <w:rsid w:val="005261D3"/>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526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526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7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4B8C01912575276F779D34E59392946801C7CB16EE788D12D79B460E68ED7F3E3F5944CC7B5C3B6B7DN2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4B8C01912575276F779D34E59392946801C7CB16EE788D12D79B460E68ED7F3E3F5944CC7B5C3B6B7DN2M" TargetMode="External"/><Relationship Id="rId5" Type="http://schemas.openxmlformats.org/officeDocument/2006/relationships/hyperlink" Target="consultantplus://offline/ref=6D4B8C01912575276F779D34E59392946801C7CB16EE788D12D79B460E68ED7F3E3F5944CC7B5C3B6B7DN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Арефьева О.Ю.</dc:creator>
  <cp:lastModifiedBy>Арефьева О.Ю.</cp:lastModifiedBy>
  <cp:revision>1</cp:revision>
  <dcterms:created xsi:type="dcterms:W3CDTF">2013-02-07T11:15:00Z</dcterms:created>
  <dcterms:modified xsi:type="dcterms:W3CDTF">2013-02-07T11:15:00Z</dcterms:modified>
</cp:coreProperties>
</file>